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BB899" w14:textId="77777777" w:rsidR="00730035" w:rsidRDefault="00D2585B">
      <w:pPr>
        <w:spacing w:after="145"/>
        <w:ind w:left="-39"/>
      </w:pPr>
      <w:r>
        <w:rPr>
          <w:noProof/>
        </w:rPr>
        <w:drawing>
          <wp:inline distT="0" distB="0" distL="0" distR="0" wp14:anchorId="5C73D4D8" wp14:editId="62B94A51">
            <wp:extent cx="5041138" cy="470002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1138" cy="470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pPr w:vertAnchor="text" w:tblpX="6830" w:tblpY="664"/>
        <w:tblOverlap w:val="never"/>
        <w:tblW w:w="4035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035"/>
      </w:tblGrid>
      <w:tr w:rsidR="00730035" w14:paraId="55A2CD37" w14:textId="77777777" w:rsidTr="00212EBD">
        <w:trPr>
          <w:trHeight w:val="2160"/>
        </w:trPr>
        <w:tc>
          <w:tcPr>
            <w:tcW w:w="4035" w:type="dxa"/>
            <w:tcBorders>
              <w:top w:val="single" w:sz="12" w:space="0" w:color="0D5A87"/>
              <w:left w:val="single" w:sz="12" w:space="0" w:color="0D5A87"/>
              <w:bottom w:val="single" w:sz="12" w:space="0" w:color="0D5A87"/>
              <w:right w:val="single" w:sz="12" w:space="0" w:color="0D5A87"/>
            </w:tcBorders>
            <w:vAlign w:val="center"/>
          </w:tcPr>
          <w:p w14:paraId="57759A06" w14:textId="6470C36C" w:rsidR="00730035" w:rsidRDefault="00D2585B" w:rsidP="00212EBD">
            <w:pPr>
              <w:ind w:left="-42" w:right="24"/>
              <w:jc w:val="center"/>
            </w:pPr>
            <w:r>
              <w:rPr>
                <w:rFonts w:ascii="Arial" w:eastAsia="Arial" w:hAnsi="Arial" w:cs="Arial"/>
                <w:color w:val="0D5A87"/>
                <w:sz w:val="36"/>
              </w:rPr>
              <w:t>To request a service or ask a question, visit www.tuftsctsi.org</w:t>
            </w:r>
          </w:p>
        </w:tc>
      </w:tr>
    </w:tbl>
    <w:p w14:paraId="61A7AC8B" w14:textId="77777777" w:rsidR="00730035" w:rsidRDefault="00D2585B">
      <w:pPr>
        <w:spacing w:after="42" w:line="250" w:lineRule="auto"/>
      </w:pPr>
      <w:r>
        <w:rPr>
          <w:rFonts w:ascii="Arial" w:eastAsia="Arial" w:hAnsi="Arial" w:cs="Arial"/>
          <w:b/>
          <w:color w:val="0D5A87"/>
          <w:sz w:val="38"/>
        </w:rPr>
        <w:t xml:space="preserve">Study and Experimental Design and Biostatistical Services at the BERD Center </w:t>
      </w:r>
    </w:p>
    <w:p w14:paraId="78932A1B" w14:textId="73C97ECF" w:rsidR="00730035" w:rsidRDefault="00D2585B">
      <w:pPr>
        <w:spacing w:after="243" w:line="250" w:lineRule="auto"/>
        <w:ind w:left="43" w:right="198" w:hanging="10"/>
      </w:pPr>
      <w:r>
        <w:rPr>
          <w:rFonts w:ascii="Arial" w:eastAsia="Arial" w:hAnsi="Arial" w:cs="Arial"/>
        </w:rPr>
        <w:t xml:space="preserve">The Tufts CTSI Biostatistics, Epidemiology, and Research Design (BERD) Center provides comprehensive pre- </w:t>
      </w:r>
      <w:r w:rsidR="00366B05">
        <w:rPr>
          <w:rFonts w:ascii="Arial" w:eastAsia="Arial" w:hAnsi="Arial" w:cs="Arial"/>
        </w:rPr>
        <w:t xml:space="preserve">and post-award </w:t>
      </w:r>
      <w:r>
        <w:rPr>
          <w:rFonts w:ascii="Arial" w:eastAsia="Arial" w:hAnsi="Arial" w:cs="Arial"/>
        </w:rPr>
        <w:t xml:space="preserve">services.  </w:t>
      </w:r>
    </w:p>
    <w:p w14:paraId="40C3574D" w14:textId="77777777" w:rsidR="00730035" w:rsidRDefault="00D2585B">
      <w:pPr>
        <w:spacing w:after="8" w:line="250" w:lineRule="auto"/>
        <w:ind w:left="43" w:right="198" w:hanging="10"/>
      </w:pPr>
      <w:r>
        <w:rPr>
          <w:rFonts w:ascii="Arial" w:eastAsia="Arial" w:hAnsi="Arial" w:cs="Arial"/>
        </w:rPr>
        <w:t xml:space="preserve">The table below lists the services available and indicates whether they are Tufts CTSI-funded (free of charge to investigators) or fee-for-service.   </w:t>
      </w:r>
    </w:p>
    <w:tbl>
      <w:tblPr>
        <w:tblStyle w:val="TableGrid"/>
        <w:tblW w:w="10965" w:type="dxa"/>
        <w:tblInd w:w="-2" w:type="dxa"/>
        <w:tblCellMar>
          <w:top w:w="60" w:type="dxa"/>
          <w:left w:w="26" w:type="dxa"/>
          <w:right w:w="115" w:type="dxa"/>
        </w:tblCellMar>
        <w:tblLook w:val="04A0" w:firstRow="1" w:lastRow="0" w:firstColumn="1" w:lastColumn="0" w:noHBand="0" w:noVBand="1"/>
      </w:tblPr>
      <w:tblGrid>
        <w:gridCol w:w="2601"/>
        <w:gridCol w:w="4142"/>
        <w:gridCol w:w="4222"/>
      </w:tblGrid>
      <w:tr w:rsidR="00730035" w14:paraId="20A8A18D" w14:textId="77777777">
        <w:trPr>
          <w:trHeight w:val="882"/>
        </w:trPr>
        <w:tc>
          <w:tcPr>
            <w:tcW w:w="2601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  <w:shd w:val="clear" w:color="auto" w:fill="826F5E"/>
          </w:tcPr>
          <w:p w14:paraId="20F90ACD" w14:textId="77777777" w:rsidR="00730035" w:rsidRDefault="00D2585B">
            <w:pPr>
              <w:ind w:left="89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Research Phase </w:t>
            </w:r>
          </w:p>
        </w:tc>
        <w:tc>
          <w:tcPr>
            <w:tcW w:w="414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  <w:shd w:val="clear" w:color="auto" w:fill="826F5E"/>
          </w:tcPr>
          <w:p w14:paraId="0D202E8C" w14:textId="77777777" w:rsidR="00730035" w:rsidRDefault="00D2585B">
            <w:pPr>
              <w:spacing w:after="1"/>
              <w:ind w:left="3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Services offered by BERD Center funded by Tufts CTSI  </w:t>
            </w:r>
          </w:p>
          <w:p w14:paraId="26A65CB2" w14:textId="77777777" w:rsidR="00730035" w:rsidRDefault="00D2585B">
            <w:pPr>
              <w:ind w:left="87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(no charge to investigator)  </w:t>
            </w:r>
          </w:p>
        </w:tc>
        <w:tc>
          <w:tcPr>
            <w:tcW w:w="422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  <w:shd w:val="clear" w:color="auto" w:fill="826F5E"/>
          </w:tcPr>
          <w:p w14:paraId="573ED61B" w14:textId="77777777" w:rsidR="00730035" w:rsidRDefault="00D2585B">
            <w:pPr>
              <w:ind w:left="288" w:right="144"/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1"/>
              </w:rPr>
              <w:t xml:space="preserve">Services offered by BERD Center for a fee*  </w:t>
            </w:r>
          </w:p>
        </w:tc>
      </w:tr>
      <w:tr w:rsidR="00730035" w14:paraId="7C242EC9" w14:textId="77777777" w:rsidTr="00212EBD">
        <w:trPr>
          <w:trHeight w:val="3004"/>
        </w:trPr>
        <w:tc>
          <w:tcPr>
            <w:tcW w:w="2601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004A6C9A" w14:textId="77777777" w:rsidR="00730035" w:rsidRDefault="00D2585B">
            <w:pPr>
              <w:ind w:left="44"/>
            </w:pPr>
            <w:r>
              <w:rPr>
                <w:rFonts w:ascii="Arial" w:eastAsia="Arial" w:hAnsi="Arial" w:cs="Arial"/>
                <w:b/>
                <w:sz w:val="21"/>
              </w:rPr>
              <w:t xml:space="preserve">Study planning and grant application </w:t>
            </w:r>
          </w:p>
        </w:tc>
        <w:tc>
          <w:tcPr>
            <w:tcW w:w="414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42350345" w14:textId="77777777" w:rsidR="00730035" w:rsidRDefault="00D2585B">
            <w:pPr>
              <w:spacing w:after="16"/>
              <w:ind w:left="41"/>
            </w:pPr>
            <w:r>
              <w:rPr>
                <w:rFonts w:ascii="Arial" w:eastAsia="Arial" w:hAnsi="Arial" w:cs="Arial"/>
                <w:b/>
                <w:sz w:val="21"/>
              </w:rPr>
              <w:t xml:space="preserve">Investigator-initiated grants or study protocols </w:t>
            </w:r>
          </w:p>
          <w:p w14:paraId="06CB582C" w14:textId="77777777" w:rsidR="00730035" w:rsidRDefault="00D2585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Grant critique/review</w:t>
            </w:r>
          </w:p>
          <w:p w14:paraId="42023347" w14:textId="77777777" w:rsidR="00730035" w:rsidRDefault="00D2585B">
            <w:pPr>
              <w:numPr>
                <w:ilvl w:val="0"/>
                <w:numId w:val="1"/>
              </w:numPr>
              <w:spacing w:after="14" w:line="243" w:lineRule="auto"/>
              <w:ind w:hanging="360"/>
            </w:pPr>
            <w:r>
              <w:rPr>
                <w:rFonts w:ascii="Arial" w:eastAsia="Arial" w:hAnsi="Arial" w:cs="Arial"/>
                <w:sz w:val="21"/>
              </w:rPr>
              <w:t>Development of aims and hypotheses</w:t>
            </w:r>
          </w:p>
          <w:p w14:paraId="6975F379" w14:textId="77777777" w:rsidR="00730035" w:rsidRDefault="00D2585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Study and experimental design</w:t>
            </w:r>
          </w:p>
          <w:p w14:paraId="6D0A4A23" w14:textId="77777777" w:rsidR="00730035" w:rsidRDefault="00D2585B">
            <w:pPr>
              <w:numPr>
                <w:ilvl w:val="0"/>
                <w:numId w:val="1"/>
              </w:numPr>
              <w:spacing w:after="15" w:line="243" w:lineRule="auto"/>
              <w:ind w:hanging="360"/>
            </w:pPr>
            <w:r>
              <w:rPr>
                <w:rFonts w:ascii="Arial" w:eastAsia="Arial" w:hAnsi="Arial" w:cs="Arial"/>
                <w:sz w:val="21"/>
              </w:rPr>
              <w:t>Power and sample size calculations</w:t>
            </w:r>
          </w:p>
          <w:p w14:paraId="3ECB111C" w14:textId="35F96E48" w:rsidR="00730035" w:rsidRDefault="00D2585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Analysis plan</w:t>
            </w:r>
            <w:r w:rsidR="0057086F">
              <w:rPr>
                <w:rFonts w:ascii="Arial" w:eastAsia="Arial" w:hAnsi="Arial" w:cs="Arial"/>
                <w:sz w:val="21"/>
              </w:rPr>
              <w:t>s</w:t>
            </w:r>
          </w:p>
          <w:p w14:paraId="0F5C2456" w14:textId="77777777" w:rsidR="00730035" w:rsidRDefault="00D2585B">
            <w:pPr>
              <w:numPr>
                <w:ilvl w:val="0"/>
                <w:numId w:val="1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Randomization plans</w:t>
            </w:r>
          </w:p>
          <w:p w14:paraId="5CEA9D74" w14:textId="7C32C706" w:rsidR="00730035" w:rsidRDefault="0057086F">
            <w:pPr>
              <w:numPr>
                <w:ilvl w:val="0"/>
                <w:numId w:val="1"/>
              </w:numPr>
              <w:spacing w:after="241" w:line="243" w:lineRule="auto"/>
              <w:ind w:hanging="360"/>
            </w:pPr>
            <w:r>
              <w:rPr>
                <w:rFonts w:ascii="Arial" w:eastAsia="Arial" w:hAnsi="Arial" w:cs="Arial"/>
                <w:sz w:val="21"/>
              </w:rPr>
              <w:t>Analysis of p</w:t>
            </w:r>
            <w:r w:rsidR="00D2585B">
              <w:rPr>
                <w:rFonts w:ascii="Arial" w:eastAsia="Arial" w:hAnsi="Arial" w:cs="Arial"/>
                <w:sz w:val="21"/>
              </w:rPr>
              <w:t>ilot data for grant</w:t>
            </w:r>
            <w:r>
              <w:rPr>
                <w:rFonts w:ascii="Arial" w:eastAsia="Arial" w:hAnsi="Arial" w:cs="Arial"/>
                <w:sz w:val="21"/>
              </w:rPr>
              <w:t xml:space="preserve"> proposal</w:t>
            </w:r>
            <w:r w:rsidR="00D2585B">
              <w:rPr>
                <w:rFonts w:ascii="Arial" w:eastAsia="Arial" w:hAnsi="Arial" w:cs="Arial"/>
                <w:sz w:val="21"/>
              </w:rPr>
              <w:t>s</w:t>
            </w:r>
          </w:p>
          <w:p w14:paraId="42B738B2" w14:textId="37258AA7" w:rsidR="00730035" w:rsidRDefault="00D2585B" w:rsidP="00212EBD">
            <w:pPr>
              <w:ind w:left="41"/>
            </w:pPr>
            <w:r>
              <w:rPr>
                <w:rFonts w:ascii="Arial" w:eastAsia="Arial" w:hAnsi="Arial" w:cs="Arial"/>
                <w:b/>
                <w:sz w:val="21"/>
              </w:rPr>
              <w:t>Weekly drop-in sessions</w:t>
            </w:r>
            <w:r>
              <w:rPr>
                <w:rFonts w:ascii="Arial" w:eastAsia="Arial" w:hAnsi="Arial" w:cs="Arial"/>
                <w:sz w:val="21"/>
              </w:rPr>
              <w:t xml:space="preserve"> ** </w:t>
            </w:r>
          </w:p>
        </w:tc>
        <w:tc>
          <w:tcPr>
            <w:tcW w:w="422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0A06DD4F" w14:textId="77777777" w:rsidR="00730035" w:rsidRDefault="00D2585B">
            <w:pPr>
              <w:spacing w:after="12"/>
              <w:ind w:left="42"/>
            </w:pPr>
            <w:r>
              <w:rPr>
                <w:rFonts w:ascii="Arial" w:eastAsia="Arial" w:hAnsi="Arial" w:cs="Arial"/>
                <w:b/>
                <w:sz w:val="21"/>
              </w:rPr>
              <w:t>Industry-initiated research or funded research projects</w:t>
            </w:r>
            <w:r>
              <w:rPr>
                <w:rFonts w:ascii="Arial" w:eastAsia="Arial" w:hAnsi="Arial" w:cs="Arial"/>
                <w:color w:val="6389BB"/>
                <w:sz w:val="21"/>
              </w:rPr>
              <w:t xml:space="preserve">  </w:t>
            </w:r>
          </w:p>
          <w:p w14:paraId="4464CE9B" w14:textId="77777777" w:rsidR="00730035" w:rsidRDefault="00D2585B">
            <w:pPr>
              <w:numPr>
                <w:ilvl w:val="0"/>
                <w:numId w:val="2"/>
              </w:numPr>
              <w:spacing w:after="14" w:line="243" w:lineRule="auto"/>
              <w:ind w:hanging="360"/>
            </w:pPr>
            <w:r>
              <w:rPr>
                <w:rFonts w:ascii="Arial" w:eastAsia="Arial" w:hAnsi="Arial" w:cs="Arial"/>
                <w:sz w:val="21"/>
              </w:rPr>
              <w:t>Development of aims and hypotheses</w:t>
            </w:r>
          </w:p>
          <w:p w14:paraId="6A56DEE8" w14:textId="77777777" w:rsidR="00730035" w:rsidRDefault="00D2585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Study and experimental design</w:t>
            </w:r>
          </w:p>
          <w:p w14:paraId="21B258E1" w14:textId="77777777" w:rsidR="00730035" w:rsidRDefault="00D2585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Power and sample size calculations</w:t>
            </w:r>
          </w:p>
          <w:p w14:paraId="5208671C" w14:textId="77777777" w:rsidR="00730035" w:rsidRDefault="00D2585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Analysis plans</w:t>
            </w:r>
          </w:p>
          <w:p w14:paraId="27687FEE" w14:textId="77777777" w:rsidR="00730035" w:rsidRDefault="00D2585B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Randomization plans</w:t>
            </w:r>
          </w:p>
          <w:p w14:paraId="6F00905F" w14:textId="35FD54F0" w:rsidR="00730035" w:rsidRDefault="00366B05">
            <w:pPr>
              <w:numPr>
                <w:ilvl w:val="0"/>
                <w:numId w:val="2"/>
              </w:numPr>
              <w:ind w:hanging="360"/>
            </w:pPr>
            <w:proofErr w:type="spellStart"/>
            <w:r>
              <w:rPr>
                <w:rFonts w:ascii="Arial" w:eastAsia="Arial" w:hAnsi="Arial" w:cs="Arial"/>
                <w:sz w:val="21"/>
              </w:rPr>
              <w:t>REDCap</w:t>
            </w:r>
            <w:proofErr w:type="spellEnd"/>
            <w:r>
              <w:rPr>
                <w:rFonts w:ascii="Arial" w:eastAsia="Arial" w:hAnsi="Arial" w:cs="Arial"/>
                <w:sz w:val="21"/>
              </w:rPr>
              <w:t xml:space="preserve"> database development and data management</w:t>
            </w:r>
          </w:p>
          <w:p w14:paraId="03AF6E39" w14:textId="5EB9382B" w:rsidR="00212EBD" w:rsidRPr="00212EBD" w:rsidRDefault="00212EBD" w:rsidP="00212EBD"/>
        </w:tc>
      </w:tr>
      <w:tr w:rsidR="00730035" w14:paraId="592EE231" w14:textId="77777777" w:rsidTr="00212EBD">
        <w:trPr>
          <w:trHeight w:val="2761"/>
        </w:trPr>
        <w:tc>
          <w:tcPr>
            <w:tcW w:w="2601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1323CA10" w14:textId="548BE9B6" w:rsidR="00730035" w:rsidRDefault="00D2585B">
            <w:pPr>
              <w:ind w:left="44" w:right="165"/>
            </w:pPr>
            <w:r>
              <w:rPr>
                <w:rFonts w:ascii="Arial" w:eastAsia="Arial" w:hAnsi="Arial" w:cs="Arial"/>
                <w:b/>
                <w:sz w:val="21"/>
              </w:rPr>
              <w:t>During study or</w:t>
            </w:r>
            <w:r w:rsidR="00212EBD">
              <w:rPr>
                <w:rFonts w:ascii="Arial" w:eastAsia="Arial" w:hAnsi="Arial" w:cs="Arial"/>
                <w:b/>
                <w:sz w:val="21"/>
              </w:rPr>
              <w:t xml:space="preserve"> </w:t>
            </w:r>
            <w:r>
              <w:rPr>
                <w:rFonts w:ascii="Arial" w:eastAsia="Arial" w:hAnsi="Arial" w:cs="Arial"/>
                <w:b/>
                <w:sz w:val="21"/>
              </w:rPr>
              <w:t xml:space="preserve">after study completion </w:t>
            </w:r>
          </w:p>
        </w:tc>
        <w:tc>
          <w:tcPr>
            <w:tcW w:w="414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5F0B70CC" w14:textId="77777777" w:rsidR="00730035" w:rsidRDefault="00D2585B">
            <w:pPr>
              <w:spacing w:after="242"/>
              <w:ind w:left="41"/>
            </w:pPr>
            <w:r>
              <w:rPr>
                <w:rFonts w:ascii="Arial" w:eastAsia="Arial" w:hAnsi="Arial" w:cs="Arial"/>
                <w:b/>
                <w:sz w:val="21"/>
              </w:rPr>
              <w:t xml:space="preserve">Guidance on improving rejected manuscripts    </w:t>
            </w:r>
          </w:p>
          <w:p w14:paraId="54F329A9" w14:textId="77777777" w:rsidR="00730035" w:rsidRDefault="00D2585B">
            <w:pPr>
              <w:ind w:left="41"/>
            </w:pPr>
            <w:r>
              <w:rPr>
                <w:rFonts w:ascii="Arial" w:eastAsia="Arial" w:hAnsi="Arial" w:cs="Arial"/>
                <w:b/>
                <w:sz w:val="21"/>
              </w:rPr>
              <w:t>Weekly drop-in sessions</w:t>
            </w:r>
            <w:r>
              <w:rPr>
                <w:rFonts w:ascii="Arial" w:eastAsia="Arial" w:hAnsi="Arial" w:cs="Arial"/>
                <w:sz w:val="21"/>
              </w:rPr>
              <w:t xml:space="preserve"> ** </w:t>
            </w:r>
          </w:p>
          <w:p w14:paraId="3598F474" w14:textId="7974B35A" w:rsidR="00730035" w:rsidRDefault="00730035" w:rsidP="00212EBD"/>
        </w:tc>
        <w:tc>
          <w:tcPr>
            <w:tcW w:w="422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47E6D9AF" w14:textId="77777777" w:rsidR="00730035" w:rsidRDefault="00D2585B">
            <w:pPr>
              <w:ind w:left="42"/>
            </w:pPr>
            <w:r>
              <w:rPr>
                <w:rFonts w:ascii="Arial" w:eastAsia="Arial" w:hAnsi="Arial" w:cs="Arial"/>
                <w:b/>
                <w:sz w:val="21"/>
              </w:rPr>
              <w:t>Pre-Analysis</w:t>
            </w:r>
          </w:p>
          <w:p w14:paraId="7E39FCB7" w14:textId="77777777" w:rsidR="00730035" w:rsidRDefault="00D2585B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Analysis file creation</w:t>
            </w:r>
          </w:p>
          <w:p w14:paraId="11A0F923" w14:textId="77777777" w:rsidR="00730035" w:rsidRDefault="00D2585B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Data set organization and cleaning</w:t>
            </w:r>
          </w:p>
          <w:p w14:paraId="6782628B" w14:textId="77777777" w:rsidR="00730035" w:rsidRDefault="00D2585B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Data Management</w:t>
            </w:r>
          </w:p>
          <w:p w14:paraId="100B5C7E" w14:textId="77777777" w:rsidR="00730035" w:rsidRDefault="00D2585B">
            <w:pPr>
              <w:ind w:left="51"/>
            </w:pPr>
            <w:r>
              <w:rPr>
                <w:rFonts w:ascii="Arial" w:eastAsia="Arial" w:hAnsi="Arial" w:cs="Arial"/>
                <w:b/>
                <w:sz w:val="21"/>
              </w:rPr>
              <w:t xml:space="preserve">Analysis </w:t>
            </w:r>
          </w:p>
          <w:p w14:paraId="1EE81A21" w14:textId="77777777" w:rsidR="00730035" w:rsidRDefault="00D2585B">
            <w:pPr>
              <w:numPr>
                <w:ilvl w:val="0"/>
                <w:numId w:val="4"/>
              </w:numPr>
              <w:ind w:hanging="360"/>
            </w:pPr>
            <w:r>
              <w:rPr>
                <w:rFonts w:ascii="Arial" w:eastAsia="Arial" w:hAnsi="Arial" w:cs="Arial"/>
                <w:sz w:val="21"/>
              </w:rPr>
              <w:t>Statistical analyses</w:t>
            </w:r>
          </w:p>
          <w:p w14:paraId="493F1AFC" w14:textId="77777777" w:rsidR="00730035" w:rsidRDefault="00D2585B">
            <w:pPr>
              <w:numPr>
                <w:ilvl w:val="0"/>
                <w:numId w:val="4"/>
              </w:numPr>
              <w:spacing w:after="2"/>
              <w:ind w:hanging="360"/>
            </w:pPr>
            <w:r>
              <w:rPr>
                <w:rFonts w:ascii="Arial" w:eastAsia="Arial" w:hAnsi="Arial" w:cs="Arial"/>
                <w:sz w:val="21"/>
              </w:rPr>
              <w:t>Interpretation of results</w:t>
            </w:r>
          </w:p>
          <w:p w14:paraId="14FB1BD4" w14:textId="77777777" w:rsidR="00730035" w:rsidRDefault="00D2585B">
            <w:pPr>
              <w:spacing w:after="10"/>
              <w:ind w:left="51"/>
            </w:pPr>
            <w:r>
              <w:rPr>
                <w:rFonts w:ascii="Arial" w:eastAsia="Arial" w:hAnsi="Arial" w:cs="Arial"/>
                <w:b/>
                <w:sz w:val="21"/>
              </w:rPr>
              <w:t>Post-Analysis</w:t>
            </w:r>
          </w:p>
          <w:p w14:paraId="14D56275" w14:textId="3070DCC9" w:rsidR="00730035" w:rsidRDefault="00D2585B" w:rsidP="00212EBD">
            <w:pPr>
              <w:numPr>
                <w:ilvl w:val="0"/>
                <w:numId w:val="4"/>
              </w:numPr>
              <w:spacing w:after="9" w:line="247" w:lineRule="auto"/>
              <w:ind w:hanging="360"/>
            </w:pPr>
            <w:r>
              <w:rPr>
                <w:rFonts w:ascii="Arial" w:eastAsia="Arial" w:hAnsi="Arial" w:cs="Arial"/>
                <w:sz w:val="21"/>
              </w:rPr>
              <w:t xml:space="preserve">Manuscript review, table </w:t>
            </w:r>
            <w:r w:rsidR="00FA2F86">
              <w:rPr>
                <w:rFonts w:ascii="Arial" w:eastAsia="Arial" w:hAnsi="Arial" w:cs="Arial"/>
                <w:sz w:val="21"/>
              </w:rPr>
              <w:t xml:space="preserve">&amp; figure </w:t>
            </w:r>
            <w:r>
              <w:rPr>
                <w:rFonts w:ascii="Arial" w:eastAsia="Arial" w:hAnsi="Arial" w:cs="Arial"/>
                <w:sz w:val="21"/>
              </w:rPr>
              <w:t>preparation, drafting statistical methods and results sections</w:t>
            </w:r>
          </w:p>
        </w:tc>
      </w:tr>
      <w:tr w:rsidR="00730035" w14:paraId="5DA5CB12" w14:textId="77777777">
        <w:trPr>
          <w:trHeight w:val="1342"/>
        </w:trPr>
        <w:tc>
          <w:tcPr>
            <w:tcW w:w="2601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76A86924" w14:textId="77777777" w:rsidR="00730035" w:rsidRDefault="00D2585B">
            <w:pPr>
              <w:ind w:left="44"/>
            </w:pPr>
            <w:r>
              <w:rPr>
                <w:rFonts w:ascii="Arial" w:eastAsia="Arial" w:hAnsi="Arial" w:cs="Arial"/>
                <w:b/>
                <w:sz w:val="21"/>
              </w:rPr>
              <w:t xml:space="preserve">Education &amp; career development </w:t>
            </w:r>
          </w:p>
        </w:tc>
        <w:tc>
          <w:tcPr>
            <w:tcW w:w="414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35D67959" w14:textId="77777777" w:rsidR="00730035" w:rsidRDefault="00D2585B">
            <w:pPr>
              <w:ind w:right="402"/>
            </w:pPr>
            <w:r>
              <w:rPr>
                <w:rFonts w:ascii="Arial" w:eastAsia="Arial" w:hAnsi="Arial" w:cs="Arial"/>
                <w:sz w:val="21"/>
              </w:rPr>
              <w:t xml:space="preserve">A series of workshops on  topics such as study and experimental design, hypothesis testing, statistical analyses, and study protocol (aimed at larger audiences, &gt;20 participants) </w:t>
            </w:r>
          </w:p>
        </w:tc>
        <w:tc>
          <w:tcPr>
            <w:tcW w:w="4222" w:type="dxa"/>
            <w:tcBorders>
              <w:top w:val="single" w:sz="8" w:space="0" w:color="6389BB"/>
              <w:left w:val="single" w:sz="8" w:space="0" w:color="6389BB"/>
              <w:bottom w:val="single" w:sz="8" w:space="0" w:color="6389BB"/>
              <w:right w:val="single" w:sz="8" w:space="0" w:color="6389BB"/>
            </w:tcBorders>
          </w:tcPr>
          <w:p w14:paraId="7FFA1B21" w14:textId="77777777" w:rsidR="00730035" w:rsidRDefault="00D2585B">
            <w:pPr>
              <w:spacing w:after="1" w:line="239" w:lineRule="auto"/>
              <w:ind w:left="42"/>
            </w:pPr>
            <w:r>
              <w:rPr>
                <w:rFonts w:ascii="Arial" w:eastAsia="Arial" w:hAnsi="Arial" w:cs="Arial"/>
                <w:sz w:val="21"/>
              </w:rPr>
              <w:t xml:space="preserve">Customized classes on varied epidemiology/statistical topics (aimed at smaller groups, or topics not covered by </w:t>
            </w:r>
          </w:p>
          <w:p w14:paraId="38EFABFD" w14:textId="77777777" w:rsidR="00730035" w:rsidRDefault="00D2585B">
            <w:pPr>
              <w:ind w:left="42"/>
            </w:pPr>
            <w:r>
              <w:rPr>
                <w:rFonts w:ascii="Arial" w:eastAsia="Arial" w:hAnsi="Arial" w:cs="Arial"/>
                <w:sz w:val="21"/>
              </w:rPr>
              <w:t xml:space="preserve">Tufts CTSI offerings)  </w:t>
            </w:r>
          </w:p>
        </w:tc>
      </w:tr>
    </w:tbl>
    <w:p w14:paraId="3C6C5A4A" w14:textId="77777777" w:rsidR="00730035" w:rsidRDefault="00D2585B">
      <w:pPr>
        <w:spacing w:after="0"/>
        <w:ind w:left="37"/>
      </w:pPr>
      <w:r>
        <w:rPr>
          <w:rFonts w:ascii="Arial" w:eastAsia="Arial" w:hAnsi="Arial" w:cs="Arial"/>
          <w:color w:val="826F5E"/>
          <w:sz w:val="18"/>
        </w:rPr>
        <w:t>* Contact us for current rates.</w:t>
      </w:r>
    </w:p>
    <w:p w14:paraId="23D0A02D" w14:textId="310FF22B" w:rsidR="00730035" w:rsidRPr="00C10086" w:rsidRDefault="00D2585B" w:rsidP="00C10086">
      <w:pPr>
        <w:spacing w:after="594"/>
        <w:ind w:left="37"/>
        <w:rPr>
          <w:u w:val="single"/>
        </w:rPr>
      </w:pPr>
      <w:r>
        <w:rPr>
          <w:rFonts w:ascii="Arial" w:eastAsia="Arial" w:hAnsi="Arial" w:cs="Arial"/>
          <w:color w:val="826F5E"/>
          <w:sz w:val="18"/>
        </w:rPr>
        <w:t xml:space="preserve">** Virtual drop-in sessions are held weekly. Visit </w:t>
      </w:r>
      <w:hyperlink r:id="rId6" w:history="1">
        <w:r w:rsidR="00C10086" w:rsidRPr="00C10086">
          <w:rPr>
            <w:rStyle w:val="Hyperlink"/>
            <w:rFonts w:ascii="Arial" w:hAnsi="Arial" w:cs="Arial"/>
            <w:sz w:val="18"/>
            <w:szCs w:val="18"/>
          </w:rPr>
          <w:t xml:space="preserve">https://redcap.link/berd_drop_ins </w:t>
        </w:r>
      </w:hyperlink>
      <w:r w:rsidR="00FA2F86">
        <w:rPr>
          <w:rFonts w:ascii="Arial" w:eastAsia="Arial" w:hAnsi="Arial" w:cs="Arial"/>
          <w:color w:val="826F5E"/>
          <w:sz w:val="18"/>
        </w:rPr>
        <w:t xml:space="preserve"> </w:t>
      </w:r>
      <w:r>
        <w:rPr>
          <w:rFonts w:ascii="Arial" w:eastAsia="Arial" w:hAnsi="Arial" w:cs="Arial"/>
          <w:color w:val="826F5E"/>
          <w:sz w:val="18"/>
        </w:rPr>
        <w:t>to sign up for an appointment.</w:t>
      </w:r>
    </w:p>
    <w:p w14:paraId="159DA947" w14:textId="55A90B60" w:rsidR="00730035" w:rsidRDefault="00D2585B">
      <w:pPr>
        <w:pStyle w:val="Heading1"/>
        <w:tabs>
          <w:tab w:val="center" w:pos="5480"/>
          <w:tab w:val="right" w:pos="11168"/>
        </w:tabs>
        <w:jc w:val="left"/>
      </w:pPr>
      <w:r>
        <w:rPr>
          <w:rFonts w:ascii="Calibri" w:eastAsia="Calibri" w:hAnsi="Calibri" w:cs="Calibri"/>
          <w:b w:val="0"/>
          <w:color w:val="000000"/>
          <w:sz w:val="22"/>
        </w:rPr>
        <w:tab/>
      </w:r>
      <w:r>
        <w:t xml:space="preserve">www.tuftsctsi.org </w:t>
      </w:r>
      <w:r>
        <w:tab/>
      </w:r>
      <w:r>
        <w:rPr>
          <w:b w:val="0"/>
          <w:color w:val="826F5E"/>
          <w:sz w:val="16"/>
        </w:rPr>
        <w:t xml:space="preserve">Version: </w:t>
      </w:r>
      <w:r w:rsidR="00FA2F86">
        <w:rPr>
          <w:b w:val="0"/>
          <w:color w:val="826F5E"/>
          <w:sz w:val="16"/>
        </w:rPr>
        <w:t>8/5/2022</w:t>
      </w:r>
    </w:p>
    <w:sectPr w:rsidR="00730035">
      <w:pgSz w:w="12240" w:h="15840"/>
      <w:pgMar w:top="723" w:right="432" w:bottom="144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2C80"/>
    <w:multiLevelType w:val="hybridMultilevel"/>
    <w:tmpl w:val="C436E6B4"/>
    <w:lvl w:ilvl="0" w:tplc="05A27630">
      <w:start w:val="1"/>
      <w:numFmt w:val="bullet"/>
      <w:lvlText w:val="•"/>
      <w:lvlJc w:val="left"/>
      <w:pPr>
        <w:ind w:left="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D04992">
      <w:start w:val="1"/>
      <w:numFmt w:val="bullet"/>
      <w:lvlText w:val="o"/>
      <w:lvlJc w:val="left"/>
      <w:pPr>
        <w:ind w:left="1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EA0ADA">
      <w:start w:val="1"/>
      <w:numFmt w:val="bullet"/>
      <w:lvlText w:val="▪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96D51C">
      <w:start w:val="1"/>
      <w:numFmt w:val="bullet"/>
      <w:lvlText w:val="•"/>
      <w:lvlJc w:val="left"/>
      <w:pPr>
        <w:ind w:left="2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14E2DC">
      <w:start w:val="1"/>
      <w:numFmt w:val="bullet"/>
      <w:lvlText w:val="o"/>
      <w:lvlJc w:val="left"/>
      <w:pPr>
        <w:ind w:left="3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2291D0">
      <w:start w:val="1"/>
      <w:numFmt w:val="bullet"/>
      <w:lvlText w:val="▪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89678">
      <w:start w:val="1"/>
      <w:numFmt w:val="bullet"/>
      <w:lvlText w:val="•"/>
      <w:lvlJc w:val="left"/>
      <w:pPr>
        <w:ind w:left="4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6C68A4">
      <w:start w:val="1"/>
      <w:numFmt w:val="bullet"/>
      <w:lvlText w:val="o"/>
      <w:lvlJc w:val="left"/>
      <w:pPr>
        <w:ind w:left="5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089D86">
      <w:start w:val="1"/>
      <w:numFmt w:val="bullet"/>
      <w:lvlText w:val="▪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E55A25"/>
    <w:multiLevelType w:val="hybridMultilevel"/>
    <w:tmpl w:val="F2C2C0B0"/>
    <w:lvl w:ilvl="0" w:tplc="907413F0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020C7A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56E348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ACC3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2ACF3A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AAEC0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ACABEA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5C095E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7C2EB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435232"/>
    <w:multiLevelType w:val="hybridMultilevel"/>
    <w:tmpl w:val="2D662E92"/>
    <w:lvl w:ilvl="0" w:tplc="E4320D5E">
      <w:start w:val="1"/>
      <w:numFmt w:val="bullet"/>
      <w:lvlText w:val="•"/>
      <w:lvlJc w:val="left"/>
      <w:pPr>
        <w:ind w:left="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518777A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249B62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8AF79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D8FD18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DCAD9E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02CAD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B6B34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FE5AE0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5B2B64"/>
    <w:multiLevelType w:val="hybridMultilevel"/>
    <w:tmpl w:val="C19CFF72"/>
    <w:lvl w:ilvl="0" w:tplc="7E62F93E">
      <w:start w:val="1"/>
      <w:numFmt w:val="bullet"/>
      <w:lvlText w:val="•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EFB2E">
      <w:start w:val="1"/>
      <w:numFmt w:val="bullet"/>
      <w:lvlText w:val="o"/>
      <w:lvlJc w:val="left"/>
      <w:pPr>
        <w:ind w:left="1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DC9246">
      <w:start w:val="1"/>
      <w:numFmt w:val="bullet"/>
      <w:lvlText w:val="▪"/>
      <w:lvlJc w:val="left"/>
      <w:pPr>
        <w:ind w:left="1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E3088">
      <w:start w:val="1"/>
      <w:numFmt w:val="bullet"/>
      <w:lvlText w:val="•"/>
      <w:lvlJc w:val="left"/>
      <w:pPr>
        <w:ind w:left="2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DA6D94">
      <w:start w:val="1"/>
      <w:numFmt w:val="bullet"/>
      <w:lvlText w:val="o"/>
      <w:lvlJc w:val="left"/>
      <w:pPr>
        <w:ind w:left="33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1808D94">
      <w:start w:val="1"/>
      <w:numFmt w:val="bullet"/>
      <w:lvlText w:val="▪"/>
      <w:lvlJc w:val="left"/>
      <w:pPr>
        <w:ind w:left="40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DE8A612">
      <w:start w:val="1"/>
      <w:numFmt w:val="bullet"/>
      <w:lvlText w:val="•"/>
      <w:lvlJc w:val="left"/>
      <w:pPr>
        <w:ind w:left="47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EA4EC24">
      <w:start w:val="1"/>
      <w:numFmt w:val="bullet"/>
      <w:lvlText w:val="o"/>
      <w:lvlJc w:val="left"/>
      <w:pPr>
        <w:ind w:left="54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E32AA82">
      <w:start w:val="1"/>
      <w:numFmt w:val="bullet"/>
      <w:lvlText w:val="▪"/>
      <w:lvlJc w:val="left"/>
      <w:pPr>
        <w:ind w:left="61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468160">
    <w:abstractNumId w:val="1"/>
  </w:num>
  <w:num w:numId="2" w16cid:durableId="355931120">
    <w:abstractNumId w:val="0"/>
  </w:num>
  <w:num w:numId="3" w16cid:durableId="90200302">
    <w:abstractNumId w:val="2"/>
  </w:num>
  <w:num w:numId="4" w16cid:durableId="10671517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035"/>
    <w:rsid w:val="00212EBD"/>
    <w:rsid w:val="002F0584"/>
    <w:rsid w:val="00366B05"/>
    <w:rsid w:val="0055597A"/>
    <w:rsid w:val="0057086F"/>
    <w:rsid w:val="00730035"/>
    <w:rsid w:val="0075181C"/>
    <w:rsid w:val="00C10086"/>
    <w:rsid w:val="00D2585B"/>
    <w:rsid w:val="00F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7ADA5"/>
  <w15:docId w15:val="{0AD620BD-2CC3-4B15-BE70-A1E42625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jc w:val="right"/>
      <w:outlineLvl w:val="0"/>
    </w:pPr>
    <w:rPr>
      <w:rFonts w:ascii="Arial" w:eastAsia="Arial" w:hAnsi="Arial" w:cs="Arial"/>
      <w:b/>
      <w:color w:val="6389BB"/>
      <w:sz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389BB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D258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58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585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58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585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85B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2F86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212EBD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C10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3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dcap.link/berd_drop_ins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Tufts Medical Center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awest</dc:creator>
  <cp:keywords/>
  <cp:lastModifiedBy>Reed, Ellaina N</cp:lastModifiedBy>
  <cp:revision>11</cp:revision>
  <dcterms:created xsi:type="dcterms:W3CDTF">2022-06-01T13:56:00Z</dcterms:created>
  <dcterms:modified xsi:type="dcterms:W3CDTF">2023-05-02T18:15:00Z</dcterms:modified>
</cp:coreProperties>
</file>